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w:t>
      </w:r>
      <w:r>
        <w:t xml:space="preserve">sp., one of the most abundant primary producers in marine ecosystems, exhibit remarkable adaptations to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sp. 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sp. 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w:t>
      </w:r>
      <w:r>
        <w:t xml:space="preserve">sp.,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sp. 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However, oxygen levels in the open ocean and coastal waters have declined over the past half-century due to human activities that increase global temperatures and nutrient release</w:t>
      </w:r>
      <w:r>
        <w:t xml:space="preserve"> </w:t>
      </w:r>
      <w:r>
        <w:t xml:space="preserve">(Breitburg et al. 2018)</w:t>
      </w:r>
      <w:r>
        <w:t xml:space="preserve">. Since the mid-20</w:t>
      </w:r>
      <w:r>
        <w:rPr>
          <w:vertAlign w:val="superscript"/>
        </w:rPr>
        <w:t xml:space="preserve">th</w:t>
      </w:r>
      <w:r>
        <w:t xml:space="preserve"> </w:t>
      </w:r>
      <w:r>
        <w:t xml:space="preserve">century, ocean deoxygenation has become a critical change in marine ecosystems, affecting productivity, biodiversity and biogeochemical cycles. This ocean deoxygenation ranks among the most important changes occurring in marine ecosystems</w:t>
      </w:r>
      <w:r>
        <w:t xml:space="preserve"> </w:t>
      </w:r>
      <w:r>
        <w:t xml:space="preserve">(Keeling et al. 2010)</w:t>
      </w:r>
      <w:r>
        <w:t xml:space="preserve">.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w:t>
      </w:r>
      <w:r>
        <w:t xml:space="preserve"> </w:t>
      </w:r>
      <w:r>
        <w:t xml:space="preserve">(Breitburg et al. 2018)</w:t>
      </w:r>
      <w:r>
        <w:t xml:space="preserve">. Due to this fact, it has become necessary to research and forecast which species will be able to survive and dominate under the influence of the predicted and ongoing changes in the ecosystem.</w:t>
      </w:r>
    </w:p>
    <w:p>
      <w:pPr>
        <w:pStyle w:val="BodyText"/>
      </w:pPr>
      <w:r>
        <w:t xml:space="preserve">Picocyanobacteria numerically dominate vast tracts of the world’s oceans, particularly in oligotrophic regions exhibit remarkable adaptations to thrive in low oxygen environments, such as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w:t>
      </w:r>
      <w:r>
        <w:t xml:space="preserve"> </w:t>
      </w:r>
      <w:r>
        <w:t xml:space="preserve">(Murphy et al. 2017; Luimstra et al. 2018)</w:t>
      </w:r>
      <w:r>
        <w:t xml:space="preserve">. Furthermore, recent studies have highlighted the role of specific genetic adaptations in cyanobacteria populations inhabiting OMZs, enabling them to tolerate and even thrive in oxygen-depleted environments. These adaptations encompass genetic modifications related to energy metabolism, antioxidant defense mechanisms, and cellular structures optimized for oxygen scavenging and storage</w:t>
      </w:r>
      <w:r>
        <w:t xml:space="preserve"> </w:t>
      </w:r>
      <w:r>
        <w:t xml:space="preserve">(Ulloa et al. 2012)</w:t>
      </w:r>
      <w:r>
        <w:t xml:space="preserve">. Overall, the occurrence and adaptation of picocyanobacteria to low oxygen environments are critical components of marine ecosystems, shaping their productivity and biodiversity in OMZ regions.</w:t>
      </w:r>
    </w:p>
    <w:p>
      <w:pPr>
        <w:pStyle w:val="BodyText"/>
      </w:pPr>
      <w:r>
        <w:t xml:space="preserve">Another important factor that should be considered when predicting the occurrence of dominant picocyanobacteria in the water column during changing environmental conditions is their adaptation to various spectral wavebands, ranging from short-wavelength blue light, through green and yellow light to long-wavelength red light. Despite competition theory often overlooking the light spectrum as a significant axis of niche differentiation, plankton ecologists have long acknowledged that the diverse array of photosynthetic pigments allows cyanobacteria species to exploit different spectral wavebands</w:t>
      </w:r>
      <w:r>
        <w:t xml:space="preserve"> </w:t>
      </w:r>
      <w:r>
        <w:t xml:space="preserve">(Falkowski et al. 2004; Stomp et al. 2007)</w:t>
      </w:r>
      <w:r>
        <w:t xml:space="preserve">. Picocyanobacteria from the genus</w:t>
      </w:r>
      <w:r>
        <w:t xml:space="preserve"> </w:t>
      </w:r>
      <w:r>
        <w:rPr>
          <w:iCs/>
          <w:i/>
        </w:rPr>
        <w:t xml:space="preserve">Synechococcus</w:t>
      </w:r>
      <w:r>
        <w:t xml:space="preserve"> </w:t>
      </w:r>
      <w:r>
        <w:t xml:space="preserve">includes clusters rich in phycoerythrin (PE), which imparts a range of orange, reddish, pink, and purple colors, as well as phenotypes rich in phycocyanin (PC), which color the organism in various shades of blue-green. Competition experiments have demonstrated that PE-rich and PC-rich strains can coexist in white light through spectral niche differentiation</w:t>
      </w:r>
      <w:r>
        <w:t xml:space="preserve"> </w:t>
      </w:r>
      <w:r>
        <w:t xml:space="preserve">(Stomp et al. 2004)</w:t>
      </w:r>
      <w:r>
        <w:t xml:space="preserve">. This differentiation in spectral niches can also elucidate the distribution patterns of reddish and blue-green strains in natural waters. PE-rich strains dominate in clear waters due to their relatively high content of the chromophore phycourobilin (PUB) in the clearest ocean waters where blue light predominates, while their chromophore composition shifts towards phycoerythrobilin (PEB) in more mesotrophic marine waters characterized by blue-green light environments. Conversely, PC-rich strains prevail in turbid waters where orange and red light dominate. The widespread coexistence of PE-rich and PC-rich picocyanobacteria is observed in waters of intermediate turbidity, such as mesotrophic lakes and coastal seas</w:t>
      </w:r>
      <w:r>
        <w:t xml:space="preserve"> </w:t>
      </w:r>
      <w:r>
        <w:t xml:space="preserve">(Haverkamp et al. 2009)</w:t>
      </w:r>
      <w:r>
        <w:t xml:space="preserve">.</w:t>
      </w:r>
    </w:p>
    <w:p>
      <w:pPr>
        <w:pStyle w:val="BodyText"/>
      </w:pPr>
      <w:r>
        <w:t xml:space="preserve">Picocyanobacteria, are the most abundant primary producers in marine ecosystems</w:t>
      </w:r>
      <w:r>
        <w:t xml:space="preserve"> </w:t>
      </w:r>
      <w:r>
        <w:t xml:space="preserve">(Flombaum et al. 2013)</w:t>
      </w:r>
      <w:r>
        <w:t xml:space="preserve">. The ecological success of picoplanktonic</w:t>
      </w:r>
      <w:r>
        <w:t xml:space="preserve"> </w:t>
      </w:r>
      <w:r>
        <w:rPr>
          <w:iCs/>
          <w:i/>
        </w:rPr>
        <w:t xml:space="preserve">Synechococcus</w:t>
      </w:r>
      <w:r>
        <w:t xml:space="preserve"> </w:t>
      </w:r>
      <w:r>
        <w:t xml:space="preserve">sp. to occur throughout the water column suggests they possess sophisticated strategies to respond to variations in their environment</w:t>
      </w:r>
      <w:r>
        <w:t xml:space="preserve"> </w:t>
      </w:r>
      <w:r>
        <w:t xml:space="preserve">(Scanlan 2012)</w:t>
      </w:r>
      <w:r>
        <w:t xml:space="preserve">, especially to different oxygen concentrations and colors of light. Thus, the aim of this work was to demonstrate the ecophysiological response of PC-rich and PE-rich</w:t>
      </w:r>
      <w:r>
        <w:t xml:space="preserve"> </w:t>
      </w:r>
      <w:r>
        <w:rPr>
          <w:iCs/>
          <w:i/>
        </w:rPr>
        <w:t xml:space="preserve">Synechococcus</w:t>
      </w:r>
      <w:r>
        <w:t xml:space="preserve"> </w:t>
      </w:r>
      <w:r>
        <w:t xml:space="preserve">sp. cultures to different oxygen concentrations (250 µM or 2.5 µM [O</w:t>
      </w:r>
      <w:r>
        <w:rPr>
          <w:vertAlign w:val="subscript"/>
        </w:rPr>
        <w:t xml:space="preserve">2</w:t>
      </w:r>
      <w:r>
        <w:t xml:space="preserve">]) and spectral wavebands from 405 – 730 nm. In this work, we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the wide range of the light spectrum found at greater depths, and which species will dominate in these waters in the near future.</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r>
        <w:t xml:space="preserve">3C3</w:t>
      </w:r>
      <w:r>
        <w:rPr>
          <w:vertAlign w:val="subscript"/>
        </w:rPr>
        <w:t xml:space="preserve">PSII</w:t>
      </w:r>
      <w:r>
        <w:t xml:space="preserve"> </w:t>
      </w:r>
      <w:r>
        <w:t xml:space="preserve">(Fig. S4);</w:t>
      </w:r>
      <w:r>
        <w:t xml:space="preserve"> </w:t>
      </w:r>
      <w:r>
        <w:t xml:space="preserve">3C4</w:t>
      </w:r>
      <w:r>
        <w:rPr>
          <w:vertAlign w:val="subscript"/>
        </w:rPr>
        <w:t xml:space="preserve">PSII</w:t>
      </w:r>
      <w:r>
        <w:t xml:space="preserve"> </w:t>
      </w:r>
      <w:r>
        <w:t xml:space="preserve">(Fig. S5); or q</w:t>
      </w:r>
      <w:r>
        <w:rPr>
          <w:vertAlign w:val="subscript"/>
        </w:rPr>
        <w:t xml:space="preserve">P</w:t>
      </w:r>
      <w:r>
        <w:t xml:space="preserve"> </w:t>
      </w:r>
      <w:r>
        <w:t xml:space="preserve">(Fig. S6) vs. Actinic PAR (µmol photons m</w:t>
      </w:r>
      <w:r>
        <w:rPr>
          <w:vertAlign w:val="superscript"/>
        </w:rPr>
        <w:t xml:space="preserve">−2</w:t>
      </w:r>
      <w:r>
        <w:t xml:space="preserve">s</w:t>
      </w:r>
      <w:r>
        <w:rPr>
          <w:vertAlign w:val="superscript"/>
        </w:rPr>
        <w:t xml:space="preserve">−1</w:t>
      </w:r>
      <w:r>
        <w:t xml:space="preserve">) under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or 2.5 µM are shown in Supplementary materials.</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or 2.5 µM are also presented (Fig. S7).</w:t>
      </w:r>
    </w:p>
    <w:p>
      <w:pPr>
        <w:pStyle w:val="BodyText"/>
      </w:pPr>
      <w:r>
        <w:t xml:space="preserve">Next, 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at the same time as the FRRf measurements.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q</w:t>
      </w:r>
      <w:r>
        <w:rPr>
          <w:vertAlign w:val="subscript"/>
        </w:rPr>
        <w:t xml:space="preserve">P</w:t>
      </w:r>
      <w:r>
        <w:t xml:space="preserve"> </w:t>
      </w:r>
      <w:r>
        <w:t xml:space="preserve">(Tab. S8); or</w:t>
      </w:r>
      <w:r>
        <w:t xml:space="preserve"> </w:t>
      </w:r>
      <w:r>
        <w:rPr>
          <w:iCs/>
          <w:i/>
        </w:rPr>
        <w:t xml:space="preserve">JV</w:t>
      </w:r>
      <w:r>
        <w:rPr>
          <w:vertAlign w:val="subscript"/>
        </w:rPr>
        <w:t xml:space="preserve">PSII</w:t>
      </w:r>
      <w:r>
        <w:t xml:space="preserve"> </w:t>
      </w:r>
      <w:r>
        <w:t xml:space="preserve">(Tab. S9) to increasing light.</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S10).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S11).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S10).</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showed an increase with increasing actinic PAR. Under all excitations except Ex</w:t>
      </w:r>
      <w:r>
        <w:rPr>
          <w:vertAlign w:val="subscript"/>
        </w:rPr>
        <w:t xml:space="preserve">590nm</w:t>
      </w:r>
      <w:r>
        <w:t xml:space="preserve"> </w:t>
      </w:r>
      <w:r>
        <w:t xml:space="preserve">we noted that</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On the othet hand, for the PE-rich strain, we see that</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showed plateau at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hight [O</w:t>
      </w:r>
      <w:r>
        <w:rPr>
          <w:vertAlign w:val="subscript"/>
        </w:rPr>
        <w:t xml:space="preserve">2</w:t>
      </w:r>
      <w:r>
        <w:t xml:space="preserve">] conditions.</w:t>
      </w:r>
      <w:r>
        <w:t xml:space="preserve"> </w:t>
      </w:r>
      <w:r>
        <w:rPr>
          <w:iCs/>
          <w:i/>
        </w:rPr>
        <w:t xml:space="preserve">JV</w:t>
      </w:r>
      <w:r>
        <w:rPr>
          <w:vertAlign w:val="subscript"/>
        </w:rPr>
        <w:t xml:space="preserve">PSII</w:t>
      </w:r>
      <w:r>
        <w:t xml:space="preserve"> </w:t>
      </w:r>
      <w:r>
        <w:t xml:space="preserve">shows no change between different [O</w:t>
      </w:r>
      <w:r>
        <w:rPr>
          <w:vertAlign w:val="subscript"/>
        </w:rPr>
        <w:t xml:space="preserve">2</w:t>
      </w:r>
      <w:r>
        <w:t xml:space="preserve">] with increasing actinic light during excitation through chlorophyll at Ex</w:t>
      </w:r>
      <w:r>
        <w:rPr>
          <w:vertAlign w:val="subscript"/>
        </w:rPr>
        <w:t xml:space="preserve">445nm</w:t>
      </w:r>
      <w:r>
        <w:t xml:space="preserve">. Strain, Actinic PAR, and [O</w:t>
      </w:r>
      <w:r>
        <w:rPr>
          <w:vertAlign w:val="subscript"/>
        </w:rPr>
        <w:t xml:space="preserve">2</w:t>
      </w:r>
      <w:r>
        <w:t xml:space="preserve">] significantly influenced</w:t>
      </w:r>
      <w:r>
        <w:t xml:space="preserve"> </w:t>
      </w:r>
      <w:r>
        <w:rPr>
          <w:iCs/>
          <w:i/>
        </w:rPr>
        <w:t xml:space="preserve">JV</w:t>
      </w:r>
      <w:r>
        <w:rPr>
          <w:vertAlign w:val="subscript"/>
        </w:rPr>
        <w:t xml:space="preserve">PSII</w:t>
      </w:r>
      <w:r>
        <w:t xml:space="preserve"> </w:t>
      </w:r>
      <w:r>
        <w:t xml:space="preserve">under some of the tested excitations (Table S9).</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t>
      </w:r>
      <w:r>
        <w:t xml:space="preserve">and all presented slopes were significantly different from 0. We have also shown here that the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sp. (</w:t>
      </w:r>
      <w:r>
        <w:rPr>
          <w:iCs/>
          <w:i/>
        </w:rPr>
        <w:t xml:space="preserve">p</w:t>
      </w:r>
      <w:r>
        <w:t xml:space="preserve"> </w:t>
      </w:r>
      <w:r>
        <w:t xml:space="preserve">&lt; 0.05, Tab. S11). On the other hand, we showed that the relations do not vary for different strains within a given [O</w:t>
      </w:r>
      <w:r>
        <w:rPr>
          <w:vertAlign w:val="subscript"/>
        </w:rPr>
        <w:t xml:space="preserve">2</w:t>
      </w:r>
      <w:r>
        <w:t xml:space="preserve">] (</w:t>
      </w:r>
      <w:r>
        <w:rPr>
          <w:iCs/>
          <w:i/>
        </w:rPr>
        <w:t xml:space="preserve">p</w:t>
      </w:r>
      <w:r>
        <w:t xml:space="preserve"> </w:t>
      </w:r>
      <w:r>
        <w:t xml:space="preserve">&gt; 0.05, Tab. S11).</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718db469705b408aa8a043a592457bb681c7668"/>
    <w:p>
      <w:pPr>
        <w:pStyle w:val="Heading2"/>
      </w:pPr>
      <w:r>
        <w:t xml:space="preserve">Growth rate of PC-rich and PE-rich picocyanobacteria across [O</w:t>
      </w:r>
      <w:r>
        <w:rPr>
          <w:vertAlign w:val="subscript"/>
        </w:rPr>
        <w:t xml:space="preserve">2</w:t>
      </w:r>
      <w:r>
        <w:t xml:space="preserve">] and spectral wavebands</w:t>
      </w:r>
    </w:p>
    <w:p>
      <w:pPr>
        <w:pStyle w:val="FirstParagraph"/>
      </w:pPr>
      <w:r>
        <w:t xml:space="preserve">Picocyanobacteria are a dominant contribution to primary marine production in aquatic ecosystems. What is more, picocyanobacteria from the genus</w:t>
      </w:r>
      <w:r>
        <w:t xml:space="preserve"> </w:t>
      </w:r>
      <w:r>
        <w:rPr>
          <w:iCs/>
          <w:i/>
        </w:rPr>
        <w:t xml:space="preserve">Synechococcus</w:t>
      </w:r>
      <w:r>
        <w:t xml:space="preserve"> </w:t>
      </w:r>
      <w:r>
        <w:t xml:space="preserve">is known for its ability to tolerate a wide range of environmental factors</w:t>
      </w:r>
      <w:r>
        <w:t xml:space="preserve"> </w:t>
      </w:r>
      <w:r>
        <w:t xml:space="preserve">(Śliwińska-Wilczewska et al. 2018a; Aguilera et al. 2023)</w:t>
      </w:r>
      <w:r>
        <w:t xml:space="preserve"> </w:t>
      </w:r>
      <w:r>
        <w:t xml:space="preserve">however, the mutualistic influence of [O</w:t>
      </w:r>
      <w:r>
        <w:rPr>
          <w:vertAlign w:val="subscript"/>
        </w:rPr>
        <w:t xml:space="preserve">2</w:t>
      </w:r>
      <w:r>
        <w:t xml:space="preserve">] and spectral wavebands on their growth rate and ecophysiology has not yet been sufficiently investigated.</w:t>
      </w:r>
    </w:p>
    <w:p>
      <w:pPr>
        <w:pStyle w:val="BodyText"/>
      </w:pPr>
      <w:r>
        <w:t xml:space="preserve">PC-rich and PE-rich</w:t>
      </w:r>
      <w:r>
        <w:t xml:space="preserve"> </w:t>
      </w:r>
      <w:r>
        <w:rPr>
          <w:iCs/>
          <w:i/>
        </w:rPr>
        <w:t xml:space="preserve">Synechococcus</w:t>
      </w:r>
      <w:r>
        <w:t xml:space="preserve"> </w:t>
      </w:r>
      <w:r>
        <w:t xml:space="preserve">sp. are entrained in the water column and are therefore often exposed to rapid changes not only in the irradiance intensity but also in the color of light in the mixed layer of the water. Fluctuation in light color may result in photoinactivation of photosystem II beyond counteracting repair rates through protein turnover, thereby leading to photoinhibition and cessation of growth rate</w:t>
      </w:r>
      <w:r>
        <w:t xml:space="preserve"> </w:t>
      </w:r>
      <w:r>
        <w:t xml:space="preserve">(Six et al. 2007)</w:t>
      </w:r>
      <w:r>
        <w:t xml:space="preserve">. Indeed, we showed that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w:t>
      </w:r>
      <w:r>
        <w:t xml:space="preserve"> </w:t>
      </w:r>
      <w:r>
        <w:t xml:space="preserve">(Murphy et al. 2017)</w:t>
      </w:r>
      <w:r>
        <w:t xml:space="preserve">, which increases the cost of growth. In this work we also found that µ showed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w:t>
      </w:r>
      <w:r>
        <w:t xml:space="preserve">sp., although the relations vary across strain and [O</w:t>
      </w:r>
      <w:r>
        <w:rPr>
          <w:vertAlign w:val="subscript"/>
        </w:rPr>
        <w:t xml:space="preserve">2</w:t>
      </w:r>
      <w:r>
        <w:t xml:space="preserve">]. The chlorophyll</w:t>
      </w:r>
      <w:r>
        <w:t xml:space="preserve"> </w:t>
      </w:r>
      <w:r>
        <w:rPr>
          <w:iCs/>
          <w:i/>
        </w:rPr>
        <w:t xml:space="preserve">a</w:t>
      </w:r>
      <w:r>
        <w:t xml:space="preserve"> </w:t>
      </w:r>
      <w:r>
        <w:t xml:space="preserve">content did not change as dramatically as phycobiliproteins therefore, this means that mostly phycobiliproteins content and the number of electrons flux through the PSII directly affect the growth rate, even when the [O</w:t>
      </w:r>
      <w:r>
        <w:rPr>
          <w:vertAlign w:val="subscript"/>
        </w:rPr>
        <w:t xml:space="preserve">2</w:t>
      </w:r>
      <w:r>
        <w:t xml:space="preserve">] is low.</w:t>
      </w:r>
    </w:p>
    <w:p>
      <w:pPr>
        <w:pStyle w:val="BodyText"/>
      </w:pPr>
      <w:r>
        <w:t xml:space="preserve">As noted by</w:t>
      </w:r>
      <w:r>
        <w:t xml:space="preserve"> </w:t>
      </w:r>
      <w:r>
        <w:t xml:space="preserve">Wong et al. (2023)</w:t>
      </w:r>
      <w:r>
        <w:t xml:space="preserve">, vertical structures of phytoplankton communities in the OMZ are not sufficiently explained by top-down predation pressure or factors such as light and/or nutrient limitation and thus, phytoplankton may actually have a higher than expected direct O</w:t>
      </w:r>
      <w:r>
        <w:rPr>
          <w:vertAlign w:val="subscript"/>
        </w:rPr>
        <w:t xml:space="preserve">2</w:t>
      </w:r>
      <w:r>
        <w:t xml:space="preserve"> </w:t>
      </w:r>
      <w:r>
        <w:t xml:space="preserve">requirement and can be inhibited by low O</w:t>
      </w:r>
      <w:r>
        <w:rPr>
          <w:vertAlign w:val="subscript"/>
        </w:rPr>
        <w:t xml:space="preserve">2</w:t>
      </w:r>
      <w:r>
        <w:t xml:space="preserve"> </w:t>
      </w:r>
      <w:r>
        <w:t xml:space="preserve">levels. However, in our work we have shown that low oxygen levels do not affect, and sometimes even have a beneficial effect on different</w:t>
      </w:r>
      <w:r>
        <w:t xml:space="preserve"> </w:t>
      </w:r>
      <w:r>
        <w:rPr>
          <w:iCs/>
          <w:i/>
        </w:rPr>
        <w:t xml:space="preserve">Synechococcus</w:t>
      </w:r>
      <w:r>
        <w:t xml:space="preserve"> </w:t>
      </w:r>
      <w:r>
        <w:t xml:space="preserve">sp. phenotypes. What is more, historical data link major extinction events to warm climates and oxygen-deficient oceans, suggesting that current anthropogenic activities could lead to widespread oxygen deficiency in the oceans within a thousand years</w:t>
      </w:r>
      <w:r>
        <w:t xml:space="preserve"> </w:t>
      </w:r>
      <w:r>
        <w:t xml:space="preserve">(Breitburg et al. 2018)</w:t>
      </w:r>
      <w:r>
        <w:t xml:space="preserve">. The PC-rich strain showed generally similar growth rates under tested [O</w:t>
      </w:r>
      <w:r>
        <w:rPr>
          <w:vertAlign w:val="subscript"/>
        </w:rPr>
        <w:t xml:space="preserve">2</w:t>
      </w:r>
      <w:r>
        <w:t xml:space="preserve">], while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t xml:space="preserve">The phenotypes of</w:t>
      </w:r>
      <w:r>
        <w:t xml:space="preserve"> </w:t>
      </w:r>
      <w:r>
        <w:rPr>
          <w:iCs/>
          <w:i/>
        </w:rPr>
        <w:t xml:space="preserve">Synechococcus</w:t>
      </w:r>
      <w:r>
        <w:t xml:space="preserve"> </w:t>
      </w:r>
      <w:r>
        <w:t xml:space="preserve">also vary in pigment composition, enabling them to exploit different spectral niches</w:t>
      </w:r>
      <w:r>
        <w:t xml:space="preserve"> </w:t>
      </w:r>
      <w:r>
        <w:t xml:space="preserve">(Moore et al. 1995)</w:t>
      </w:r>
      <w:r>
        <w:t xml:space="preserve">. With a small diameter of 0.8–2.0 µm,</w:t>
      </w:r>
      <w:r>
        <w:t xml:space="preserve"> </w:t>
      </w:r>
      <w:r>
        <w:rPr>
          <w:iCs/>
          <w:i/>
        </w:rPr>
        <w:t xml:space="preserve">Synechococcus</w:t>
      </w:r>
      <w:r>
        <w:t xml:space="preserve"> </w:t>
      </w:r>
      <w:r>
        <w:t xml:space="preserve">sp. possess a high surface-to-volume ratio</w:t>
      </w:r>
      <w:r>
        <w:t xml:space="preserve"> </w:t>
      </w:r>
      <w:r>
        <w:t xml:space="preserve">(Śliwińska-Wilczewska et al. 2018b)</w:t>
      </w:r>
      <w:r>
        <w:t xml:space="preserve">. This small size minimizes the pigment package effect</w:t>
      </w:r>
      <w:r>
        <w:t xml:space="preserve"> </w:t>
      </w:r>
      <w:r>
        <w:t xml:space="preserve">(Finkel 2001)</w:t>
      </w:r>
      <w:r>
        <w:t xml:space="preserve">, resulting in high optical absorption efficiency per pigment. This characteristic allows them to thrive deep in the water column</w:t>
      </w:r>
      <w:r>
        <w:t xml:space="preserve"> </w:t>
      </w:r>
      <w:r>
        <w:t xml:space="preserve">(Moore et al. 1995)</w:t>
      </w:r>
      <w:r>
        <w:t xml:space="preserve">. Although this adaptation is optimal for photon capture, it also increases their susceptibility to light-induced damage</w:t>
      </w:r>
      <w:r>
        <w:t xml:space="preserve"> </w:t>
      </w:r>
      <w:r>
        <w:t xml:space="preserve">(Llabrés and Agustí 2006, 2010)</w:t>
      </w:r>
      <w:r>
        <w:t xml:space="preserve">. Consequently,</w:t>
      </w:r>
      <w:r>
        <w:t xml:space="preserve"> </w:t>
      </w:r>
      <w:r>
        <w:rPr>
          <w:iCs/>
          <w:i/>
        </w:rPr>
        <w:t xml:space="preserve">Synechococcus</w:t>
      </w:r>
      <w:r>
        <w:t xml:space="preserve"> </w:t>
      </w:r>
      <w:r>
        <w:t xml:space="preserve">sp. serves as an intriguing model species for studying photosynthesis and photoacclimation across different oxygen levels and spectral wavebands due to its ecological significance.</w:t>
      </w:r>
    </w:p>
    <w:p>
      <w:pPr>
        <w:pStyle w:val="BodyText"/>
      </w:pPr>
      <w:r>
        <w:rPr>
          <w:iCs/>
          <w:i/>
        </w:rPr>
        <w:t xml:space="preserve">Synechococcus</w:t>
      </w:r>
      <w:r>
        <w:t xml:space="preserve"> </w:t>
      </w:r>
      <w:r>
        <w:t xml:space="preserve">sp. utilize various pigment-proteins to harvest light energy and protect Photosystem II (PSII) from photodamage. They possess an extra-membrane antenna complex called the phycobilisome, which consists of phycocyanin rods radiating from allophycocyanin core proteins. Core-membrane linker proteins attach the phycobilisome to the thylakoid membrane, transferring harvested light energy to chlorophyll</w:t>
      </w:r>
      <w:r>
        <w:t xml:space="preserve"> </w:t>
      </w:r>
      <w:r>
        <w:rPr>
          <w:iCs/>
          <w:i/>
        </w:rPr>
        <w:t xml:space="preserve">a</w:t>
      </w:r>
      <w:r>
        <w:t xml:space="preserve"> </w:t>
      </w:r>
      <w:r>
        <w:t xml:space="preserve">and carotenoids within the PSII complex</w:t>
      </w:r>
      <w:r>
        <w:t xml:space="preserve"> </w:t>
      </w:r>
      <w:r>
        <w:t xml:space="preserve">(Scanlan 2012)</w:t>
      </w:r>
      <w:r>
        <w:t xml:space="preserve">. In some</w:t>
      </w:r>
      <w:r>
        <w:t xml:space="preserve"> </w:t>
      </w:r>
      <w:r>
        <w:rPr>
          <w:iCs/>
          <w:i/>
        </w:rPr>
        <w:t xml:space="preserve">Synechococcus</w:t>
      </w:r>
      <w:r>
        <w:t xml:space="preserve"> </w:t>
      </w:r>
      <w:r>
        <w:t xml:space="preserve">sp., a carotenoids can regulate the connectivity of the phycobilisome to the reaction center, mediating non-photochemical quenching of excitation</w:t>
      </w:r>
      <w:r>
        <w:t xml:space="preserve"> </w:t>
      </w:r>
      <w:r>
        <w:t xml:space="preserve">Kirilovsky (2015)</w:t>
      </w:r>
      <w:r>
        <w:t xml:space="preserve">. In our work we noted that both carotenoid content (Fig.</w:t>
      </w:r>
      <w:r>
        <w:t xml:space="preserve"> </w:t>
      </w:r>
      <w:r>
        <w:t xml:space="preserve">2</w:t>
      </w:r>
      <w:r>
        <w:t xml:space="preserve">) and the Car to Chl</w:t>
      </w:r>
      <w:r>
        <w:t xml:space="preserve"> </w:t>
      </w:r>
      <w:r>
        <w:rPr>
          <w:iCs/>
          <w:i/>
        </w:rPr>
        <w:t xml:space="preserve">a</w:t>
      </w:r>
      <w:r>
        <w:t xml:space="preserve"> </w:t>
      </w:r>
      <w:r>
        <w:t xml:space="preserve">ratio (Fig. Sxxx) did not change under the different [O</w:t>
      </w:r>
      <w:r>
        <w:rPr>
          <w:vertAlign w:val="subscript"/>
        </w:rPr>
        <w:t xml:space="preserve">2</w:t>
      </w:r>
      <w:r>
        <w:t xml:space="preserve">]. What is more, for the PE-rich strain, the carotenoids content did not change across tested wavebands. On the other hand, for PC-rich picocyanobacteria, a slight increase in this pigment was recorded at 405 nm and 730 nm. This could indicate that PC-rich</w:t>
      </w:r>
      <w:r>
        <w:t xml:space="preserve"> </w:t>
      </w:r>
      <w:r>
        <w:rPr>
          <w:iCs/>
          <w:i/>
        </w:rPr>
        <w:t xml:space="preserve">Synechococcus</w:t>
      </w:r>
      <w:r>
        <w:t xml:space="preserve"> </w:t>
      </w:r>
      <w:r>
        <w:t xml:space="preserve">sp. use carotenoids better to regulate the connectivity of the phycobilisome to the reaction center across different wavebands than PE-rich strain. However, the oxygen levels does not seem to affect these processes in PC-rich and PE-rich</w:t>
      </w:r>
      <w:r>
        <w:t xml:space="preserve"> </w:t>
      </w:r>
      <w:r>
        <w:rPr>
          <w:iCs/>
          <w:i/>
        </w:rPr>
        <w:t xml:space="preserve">Synechococcus</w:t>
      </w:r>
      <w:r>
        <w:t xml:space="preserve"> </w:t>
      </w:r>
      <w:r>
        <w:t xml:space="preserve">sp. Alternatively to non-photochemical quenching of excitation, picocyanobacteria can mediate pseudo-cyclic electron flows from PSII back to oxygen through multiple pathways</w:t>
      </w:r>
      <w:r>
        <w:t xml:space="preserve"> </w:t>
      </w:r>
      <w:r>
        <w:t xml:space="preserve">(Grossman et al. 2010; Murphy et al. 2017)</w:t>
      </w:r>
      <w:r>
        <w:t xml:space="preserve">, thereby controlling feedback inhibition of electron transport and reducing the risk of reactive oxygen species production.</w:t>
      </w:r>
    </w:p>
    <w:p>
      <w:pPr>
        <w:pStyle w:val="BodyText"/>
      </w:pPr>
      <w:r>
        <w:t xml:space="preserve">The pattern of σ</w:t>
      </w:r>
      <w:r>
        <w:rPr>
          <w:vertAlign w:val="subscript"/>
        </w:rPr>
        <w:t xml:space="preserve">PSII</w:t>
      </w:r>
      <w:r>
        <w:t xml:space="preserve">, τ</w:t>
      </w:r>
      <w:r>
        <w:rPr>
          <w:vertAlign w:val="subscript"/>
        </w:rPr>
        <w:t xml:space="preserve">PSII</w:t>
      </w:r>
      <w:r>
        <w:t xml:space="preserve">, q</w:t>
      </w:r>
      <w:r>
        <w:rPr>
          <w:vertAlign w:val="subscript"/>
        </w:rPr>
        <w:t xml:space="preserve">P</w:t>
      </w:r>
      <w:r>
        <w:t xml:space="preserve">, or</w:t>
      </w:r>
      <w:r>
        <w:t xml:space="preserve"> </w:t>
      </w:r>
      <w:r>
        <w:rPr>
          <w:iCs/>
          <w:i/>
        </w:rPr>
        <w:t xml:space="preserve">JV</w:t>
      </w:r>
      <w:r>
        <w:rPr>
          <w:vertAlign w:val="subscript"/>
        </w:rPr>
        <w:t xml:space="preserve">PSII</w:t>
      </w:r>
      <w:r>
        <w:t xml:space="preserve"> </w:t>
      </w:r>
      <w:r>
        <w:t xml:space="preserve">versus irradiance can be used to predict the light acclimation status of picocyanobacteria as suggested by</w:t>
      </w:r>
      <w:r>
        <w:t xml:space="preserve"> </w:t>
      </w:r>
      <w:r>
        <w:t xml:space="preserve">Campbell and Oquist (1996)</w:t>
      </w:r>
      <w:r>
        <w:t xml:space="preserve">. Oxygen is a product of photosynthesis but also have the potential to damage PSII protein subunits. The PsbA protein subunit of PSII is particularly susceptible to irreversible damage leading to the inactivation of the PSII complex</w:t>
      </w:r>
      <w:r>
        <w:t xml:space="preserve"> </w:t>
      </w:r>
      <w:r>
        <w:t xml:space="preserve">(Andersson et al. 1992)</w:t>
      </w:r>
      <w:r>
        <w:t xml:space="preserve">. The oxygen evolving complex of PSII can be inactivated by a photon in the UV or blue range directly absorbed by the Mn</w:t>
      </w:r>
      <w:r>
        <w:rPr>
          <w:vertAlign w:val="subscript"/>
        </w:rPr>
        <w:t xml:space="preserve">4</w:t>
      </w:r>
      <w:r>
        <w:t xml:space="preserve">Ca cluster</w:t>
      </w:r>
      <w:r>
        <w:t xml:space="preserve"> </w:t>
      </w:r>
      <w:r>
        <w:t xml:space="preserve">(Hakala et al. 2005)</w:t>
      </w:r>
      <w:r>
        <w:t xml:space="preserve">. Here, we showed that σ</w:t>
      </w:r>
      <w:r>
        <w:rPr>
          <w:vertAlign w:val="subscript"/>
        </w:rPr>
        <w:t xml:space="preserve">PSII</w:t>
      </w:r>
      <w:r>
        <w:t xml:space="preserve"> </w:t>
      </w:r>
      <w:r>
        <w:t xml:space="preserve">was low and shows little change with increasing actinic light during excitation through chlorophyll at Ex</w:t>
      </w:r>
      <w:r>
        <w:rPr>
          <w:vertAlign w:val="subscript"/>
        </w:rPr>
        <w:t xml:space="preserve">445nm</w:t>
      </w:r>
      <w:r>
        <w:t xml:space="preserve"> </w:t>
      </w:r>
      <w:r>
        <w:t xml:space="preserve">due the fact that in cyanobacteria the number of chlorophyll per PSII is low, and nearly fixed, so the effective absorption cross section for chlorophyll is also low</w:t>
      </w:r>
      <w:r>
        <w:t xml:space="preserve"> </w:t>
      </w:r>
      <w:r>
        <w:t xml:space="preserve">(Xu et al. 2018)</w:t>
      </w:r>
      <w:r>
        <w:t xml:space="preserve">. τ</w:t>
      </w:r>
      <w:r>
        <w:rPr>
          <w:vertAlign w:val="subscript"/>
        </w:rPr>
        <w:t xml:space="preserve">PSII</w:t>
      </w:r>
      <w:r>
        <w:t xml:space="preserve">, was generally faster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 As expected,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w:t>
      </w:r>
      <w:r>
        <w:t xml:space="preserve"> </w:t>
      </w:r>
      <w:r>
        <w:t xml:space="preserve">(Campbell et al. 1999; Hughes et al. 2018)</w:t>
      </w:r>
      <w:r>
        <w:t xml:space="preserve">.</w:t>
      </w:r>
    </w:p>
    <w:p>
      <w:pPr>
        <w:pStyle w:val="BodyText"/>
      </w:pPr>
      <w:r>
        <w:t xml:space="preserve">The genus</w:t>
      </w:r>
      <w:r>
        <w:t xml:space="preserve"> </w:t>
      </w:r>
      <w:r>
        <w:rPr>
          <w:iCs/>
          <w:i/>
        </w:rPr>
        <w:t xml:space="preserve">Synechococcus</w:t>
      </w:r>
      <w:r>
        <w:t xml:space="preserve"> </w:t>
      </w:r>
      <w:r>
        <w:t xml:space="preserve">is polyphyletic and genetically highly diverse.</w:t>
      </w:r>
      <w:r>
        <w:t xml:space="preserve"> </w:t>
      </w:r>
      <w:r>
        <w:rPr>
          <w:iCs/>
          <w:i/>
        </w:rPr>
        <w:t xml:space="preserve">Synechococcus</w:t>
      </w:r>
      <w:r>
        <w:t xml:space="preserve"> </w:t>
      </w:r>
      <w:r>
        <w:t xml:space="preserve">species are phylogenetically divided into several major clusters. Picocyanobacteria that are often found and isolated from marine, brackish and freshwater environments are related to</w:t>
      </w:r>
      <w:r>
        <w:t xml:space="preserve"> </w:t>
      </w:r>
      <w:r>
        <w:rPr>
          <w:iCs/>
          <w:i/>
        </w:rPr>
        <w:t xml:space="preserve">Synechococcus</w:t>
      </w:r>
      <w:r>
        <w:t xml:space="preserve"> </w:t>
      </w:r>
      <w:r>
        <w:t xml:space="preserve">cluster 5</w:t>
      </w:r>
      <w:r>
        <w:t xml:space="preserve"> </w:t>
      </w:r>
      <w:r>
        <w:t xml:space="preserve">(Aguilera et al. 2023)</w:t>
      </w:r>
      <w:r>
        <w:t xml:space="preserve">. Picocyanobacteria numerically dominate vast tracts of the world’s oceans and contribute a significant proportion of primary production, particularly in oligotrophic regions. The ecological success of picoplanktonic</w:t>
      </w:r>
      <w:r>
        <w:t xml:space="preserve"> </w:t>
      </w:r>
      <w:r>
        <w:rPr>
          <w:iCs/>
          <w:i/>
        </w:rPr>
        <w:t xml:space="preserve">Synechococcus</w:t>
      </w:r>
      <w:r>
        <w:t xml:space="preserve"> </w:t>
      </w:r>
      <w:r>
        <w:t xml:space="preserve">sp. suggests they possess sophisticated strategies to respond to variations in their environment. Indeed, it appears that it is the</w:t>
      </w:r>
      <w:r>
        <w:t xml:space="preserve"> </w:t>
      </w:r>
      <w:r>
        <w:rPr>
          <w:iCs/>
          <w:i/>
        </w:rPr>
        <w:t xml:space="preserve">in situ</w:t>
      </w:r>
      <w:r>
        <w:t xml:space="preserve"> </w:t>
      </w:r>
      <w:r>
        <w:t xml:space="preserve">community structure of these organisms which underlies this success, with the existence of specific ecotypes or lineages occupying different niches to populate the world’s oceans</w:t>
      </w:r>
      <w:r>
        <w:t xml:space="preserve"> </w:t>
      </w:r>
      <w:r>
        <w:t xml:space="preserve">(Scanlan 2012)</w:t>
      </w:r>
      <w:r>
        <w:t xml:space="preserve">. Hutchinson’s paradox of the plankton inspired many studies on the mechanisms of</w:t>
      </w:r>
      <w:r>
        <w:t xml:space="preserve"> </w:t>
      </w:r>
      <w:r>
        <w:t xml:space="preserve">species coexistence</w:t>
      </w:r>
      <w:r>
        <w:t xml:space="preserve"> </w:t>
      </w:r>
      <w:r>
        <w:t xml:space="preserve">(Hutchinson 1978)</w:t>
      </w:r>
      <w:r>
        <w:t xml:space="preserve">. It is commonly believed that picocyanobacteria species can share the light spectrum by specializing in different wavelengths</w:t>
      </w:r>
      <w:r>
        <w:t xml:space="preserve"> </w:t>
      </w:r>
      <w:r>
        <w:t xml:space="preserve">Stomp et al. (2007)</w:t>
      </w:r>
      <w:r>
        <w:t xml:space="preserve">. Competition models and laboratory experiments have shown that PE-rich picocyanobacteria outperform competitors in green light and PC-rich picocyanobacteria dominate in red light, while both species coexist across the full spectrum</w:t>
      </w:r>
      <w:r>
        <w:t xml:space="preserve"> </w:t>
      </w:r>
      <w:r>
        <w:t xml:space="preserve">(Stomp et al. 2004, 2007)</w:t>
      </w:r>
      <w:r>
        <w:t xml:space="preserve">. However, in our work, we concluded that not only the color of light, but also the oxygen concentration is crucial in</w:t>
      </w:r>
      <w:r>
        <w:t xml:space="preserve"> </w:t>
      </w:r>
      <w:r>
        <w:rPr>
          <w:iCs/>
          <w:i/>
        </w:rPr>
        <w:t xml:space="preserve">Synechococcus</w:t>
      </w:r>
      <w:r>
        <w:t xml:space="preserve"> </w:t>
      </w:r>
      <w:r>
        <w:t xml:space="preserve">sp. populations and that it could reflect extensive diversification of different pigmentation phenotypes into different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67" w:name="references"/>
    <w:p>
      <w:pPr>
        <w:pStyle w:val="Heading1"/>
      </w:pPr>
      <w:r>
        <w:t xml:space="preserve">References</w:t>
      </w:r>
    </w:p>
    <w:bookmarkStart w:id="166"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2">
        <w:r>
          <w:rPr>
            <w:rStyle w:val="Hyperlink"/>
          </w:rPr>
          <w:t xml:space="preserve">10.1016/1011-1344(92)87003-R</w:t>
        </w:r>
      </w:hyperlink>
      <w:r>
        <w:t xml:space="preserve">.</w:t>
      </w:r>
    </w:p>
    <w:bookmarkEnd w:id="73"/>
    <w:bookmarkStart w:id="75"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4">
        <w:r>
          <w:rPr>
            <w:rStyle w:val="Hyperlink"/>
          </w:rPr>
          <w:t xml:space="preserve">10.1083/jcb.58.2.419</w:t>
        </w:r>
      </w:hyperlink>
      <w:r>
        <w:t xml:space="preserve">.</w:t>
      </w:r>
    </w:p>
    <w:bookmarkEnd w:id="75"/>
    <w:bookmarkStart w:id="76"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6"/>
    <w:bookmarkStart w:id="78"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7">
        <w:r>
          <w:rPr>
            <w:rStyle w:val="Hyperlink"/>
          </w:rPr>
          <w:t xml:space="preserve">10.3389/fmars.2019.00319</w:t>
        </w:r>
      </w:hyperlink>
      <w:r>
        <w:t xml:space="preserve">.</w:t>
      </w:r>
    </w:p>
    <w:bookmarkEnd w:id="78"/>
    <w:bookmarkStart w:id="80"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9">
        <w:r>
          <w:rPr>
            <w:rStyle w:val="Hyperlink"/>
          </w:rPr>
          <w:t xml:space="preserve">10.1126/science.aam7240</w:t>
        </w:r>
      </w:hyperlink>
      <w:r>
        <w:t xml:space="preserve">.</w:t>
      </w:r>
    </w:p>
    <w:bookmarkEnd w:id="80"/>
    <w:bookmarkStart w:id="8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81">
        <w:r>
          <w:rPr>
            <w:rStyle w:val="Hyperlink"/>
          </w:rPr>
          <w:t xml:space="preserve">10.1034/j.1399-3054.1999.105420.x</w:t>
        </w:r>
      </w:hyperlink>
      <w:r>
        <w:t xml:space="preserve">.</w:t>
      </w:r>
    </w:p>
    <w:bookmarkEnd w:id="82"/>
    <w:bookmarkStart w:id="8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83">
        <w:r>
          <w:rPr>
            <w:rStyle w:val="Hyperlink"/>
          </w:rPr>
          <w:t xml:space="preserve">10.1104/pp.111.4.1293</w:t>
        </w:r>
      </w:hyperlink>
      <w:r>
        <w:t xml:space="preserve">.</w:t>
      </w:r>
    </w:p>
    <w:bookmarkEnd w:id="84"/>
    <w:bookmarkStart w:id="85"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85"/>
    <w:bookmarkStart w:id="87"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86">
        <w:r>
          <w:rPr>
            <w:rStyle w:val="Hyperlink"/>
          </w:rPr>
          <w:t xml:space="preserve">10.1126/science.1095964</w:t>
        </w:r>
      </w:hyperlink>
      <w:r>
        <w:t xml:space="preserve">.</w:t>
      </w:r>
    </w:p>
    <w:bookmarkEnd w:id="87"/>
    <w:bookmarkStart w:id="8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88"/>
    <w:bookmarkStart w:id="90"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89">
        <w:r>
          <w:rPr>
            <w:rStyle w:val="Hyperlink"/>
          </w:rPr>
          <w:t xml:space="preserve">10.4319/lo.2001.46.1.0086</w:t>
        </w:r>
      </w:hyperlink>
      <w:r>
        <w:t xml:space="preserve">.</w:t>
      </w:r>
    </w:p>
    <w:bookmarkEnd w:id="90"/>
    <w:bookmarkStart w:id="92"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91">
        <w:r>
          <w:rPr>
            <w:rStyle w:val="Hyperlink"/>
          </w:rPr>
          <w:t xml:space="preserve">10.1073/pnas.1307701110</w:t>
        </w:r>
      </w:hyperlink>
      <w:r>
        <w:t xml:space="preserve">.</w:t>
      </w:r>
    </w:p>
    <w:bookmarkEnd w:id="92"/>
    <w:bookmarkStart w:id="94"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93">
        <w:r>
          <w:rPr>
            <w:rStyle w:val="Hyperlink"/>
          </w:rPr>
          <w:t xml:space="preserve">10.1016/j.bbabio.2011.08.009</w:t>
        </w:r>
      </w:hyperlink>
      <w:r>
        <w:t xml:space="preserve">.</w:t>
      </w:r>
    </w:p>
    <w:bookmarkEnd w:id="94"/>
    <w:bookmarkStart w:id="96"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95">
        <w:r>
          <w:rPr>
            <w:rStyle w:val="Hyperlink"/>
          </w:rPr>
          <w:t xml:space="preserve">10.1111/j.1529-8817.2010.00852.x</w:t>
        </w:r>
      </w:hyperlink>
      <w:r>
        <w:t xml:space="preserve">.</w:t>
      </w:r>
    </w:p>
    <w:bookmarkEnd w:id="96"/>
    <w:bookmarkStart w:id="98"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97">
        <w:r>
          <w:rPr>
            <w:rStyle w:val="Hyperlink"/>
          </w:rPr>
          <w:t xml:space="preserve">10.1007/978-1-4615-8714-9_3</w:t>
        </w:r>
      </w:hyperlink>
      <w:r>
        <w:t xml:space="preserve">.</w:t>
      </w:r>
    </w:p>
    <w:bookmarkEnd w:id="98"/>
    <w:bookmarkStart w:id="100"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99">
        <w:r>
          <w:rPr>
            <w:rStyle w:val="Hyperlink"/>
          </w:rPr>
          <w:t xml:space="preserve">10.1016/j.bbabio.2004.09.001</w:t>
        </w:r>
      </w:hyperlink>
      <w:r>
        <w:t xml:space="preserve">.</w:t>
      </w:r>
    </w:p>
    <w:bookmarkEnd w:id="100"/>
    <w:bookmarkStart w:id="101"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01"/>
    <w:bookmarkStart w:id="102"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02"/>
    <w:bookmarkStart w:id="104"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03">
        <w:r>
          <w:rPr>
            <w:rStyle w:val="Hyperlink"/>
          </w:rPr>
          <w:t xml:space="preserve">10.1038/ismej.2008.118</w:t>
        </w:r>
      </w:hyperlink>
      <w:r>
        <w:t xml:space="preserve">.</w:t>
      </w:r>
    </w:p>
    <w:bookmarkEnd w:id="104"/>
    <w:bookmarkStart w:id="106"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05">
        <w:r>
          <w:rPr>
            <w:rStyle w:val="Hyperlink"/>
          </w:rPr>
          <w:t xml:space="preserve">10.1021/acs.est.8b03488</w:t>
        </w:r>
      </w:hyperlink>
      <w:r>
        <w:t xml:space="preserve">.</w:t>
      </w:r>
    </w:p>
    <w:bookmarkEnd w:id="106"/>
    <w:bookmarkStart w:id="107" w:name="Xa71befa3b812e34f238d111a4549f0c188a2e36"/>
    <w:p>
      <w:pPr>
        <w:pStyle w:val="Bibliography"/>
      </w:pPr>
      <w:r>
        <w:t xml:space="preserve">Hutchinson, G.E. 1978. An introduction to population ecology. New Haven, Conn. (USA) Yale Univ. Press.</w:t>
      </w:r>
    </w:p>
    <w:bookmarkEnd w:id="107"/>
    <w:bookmarkStart w:id="109"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08">
        <w:r>
          <w:rPr>
            <w:rStyle w:val="Hyperlink"/>
          </w:rPr>
          <w:t xml:space="preserve">10.1016/j.jphotobiol.2005.10.002</w:t>
        </w:r>
      </w:hyperlink>
      <w:r>
        <w:t xml:space="preserve">.</w:t>
      </w:r>
    </w:p>
    <w:bookmarkEnd w:id="109"/>
    <w:bookmarkStart w:id="111"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10">
        <w:r>
          <w:rPr>
            <w:rStyle w:val="Hyperlink"/>
          </w:rPr>
          <w:t xml:space="preserve">10.1146/annurev.marine.010908.163855</w:t>
        </w:r>
      </w:hyperlink>
      <w:r>
        <w:t xml:space="preserve">.</w:t>
      </w:r>
    </w:p>
    <w:bookmarkEnd w:id="111"/>
    <w:bookmarkStart w:id="113"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12">
        <w:r>
          <w:rPr>
            <w:rStyle w:val="Hyperlink"/>
          </w:rPr>
          <w:t xml:space="preserve">10.1007/s11120-014-0031-7</w:t>
        </w:r>
      </w:hyperlink>
      <w:r>
        <w:t xml:space="preserve">.</w:t>
      </w:r>
    </w:p>
    <w:bookmarkEnd w:id="113"/>
    <w:bookmarkStart w:id="115"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14">
        <w:r>
          <w:rPr>
            <w:rStyle w:val="Hyperlink"/>
          </w:rPr>
          <w:t xml:space="preserve">10.1016/S0005-2728(98)00135-2</w:t>
        </w:r>
      </w:hyperlink>
      <w:r>
        <w:t xml:space="preserve">.</w:t>
      </w:r>
    </w:p>
    <w:bookmarkEnd w:id="115"/>
    <w:bookmarkStart w:id="116"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16"/>
    <w:bookmarkStart w:id="118"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17">
        <w:r>
          <w:rPr>
            <w:rStyle w:val="Hyperlink"/>
          </w:rPr>
          <w:t xml:space="preserve">10.4319/lo.2006.51.1.0021</w:t>
        </w:r>
      </w:hyperlink>
      <w:r>
        <w:t xml:space="preserve">.</w:t>
      </w:r>
    </w:p>
    <w:bookmarkEnd w:id="118"/>
    <w:bookmarkStart w:id="120"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19">
        <w:r>
          <w:rPr>
            <w:rStyle w:val="Hyperlink"/>
          </w:rPr>
          <w:t xml:space="preserve">10.3354/ame01392</w:t>
        </w:r>
      </w:hyperlink>
      <w:r>
        <w:t xml:space="preserve">.</w:t>
      </w:r>
    </w:p>
    <w:bookmarkEnd w:id="120"/>
    <w:bookmarkStart w:id="122"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21">
        <w:r>
          <w:rPr>
            <w:rStyle w:val="Hyperlink"/>
          </w:rPr>
          <w:t xml:space="preserve">10.1007/s11120-018-0561-5</w:t>
        </w:r>
      </w:hyperlink>
      <w:r>
        <w:t xml:space="preserve">.</w:t>
      </w:r>
    </w:p>
    <w:bookmarkEnd w:id="122"/>
    <w:bookmarkStart w:id="124"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23">
        <w:r>
          <w:rPr>
            <w:rStyle w:val="Hyperlink"/>
          </w:rPr>
          <w:t xml:space="preserve">https://www.jstor.org/stable/44635011</w:t>
        </w:r>
      </w:hyperlink>
      <w:r>
        <w:t xml:space="preserve"> </w:t>
      </w:r>
      <w:r>
        <w:t xml:space="preserve">[accessed 1 July 2024].</w:t>
      </w:r>
    </w:p>
    <w:bookmarkEnd w:id="124"/>
    <w:bookmarkStart w:id="12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25">
        <w:r>
          <w:rPr>
            <w:rStyle w:val="Hyperlink"/>
          </w:rPr>
          <w:t xml:space="preserve">10.1371/journal.pone.0168991</w:t>
        </w:r>
      </w:hyperlink>
      <w:r>
        <w:t xml:space="preserve">.</w:t>
      </w:r>
    </w:p>
    <w:bookmarkEnd w:id="126"/>
    <w:bookmarkStart w:id="12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27">
        <w:r>
          <w:rPr>
            <w:rStyle w:val="Hyperlink"/>
          </w:rPr>
          <w:t xml:space="preserve">10.1023/A:1005936823310</w:t>
        </w:r>
      </w:hyperlink>
      <w:r>
        <w:t xml:space="preserve">.</w:t>
      </w:r>
    </w:p>
    <w:bookmarkEnd w:id="128"/>
    <w:bookmarkStart w:id="13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29">
        <w:r>
          <w:rPr>
            <w:rStyle w:val="Hyperlink"/>
          </w:rPr>
          <w:t xml:space="preserve">10.4319/lom.2012.10.142</w:t>
        </w:r>
      </w:hyperlink>
      <w:r>
        <w:t xml:space="preserve">.</w:t>
      </w:r>
    </w:p>
    <w:bookmarkEnd w:id="130"/>
    <w:bookmarkStart w:id="131"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31"/>
    <w:bookmarkStart w:id="133" w:name="ref-posit"/>
    <w:p>
      <w:pPr>
        <w:pStyle w:val="Bibliography"/>
      </w:pPr>
      <w:r>
        <w:t xml:space="preserve">Posit team. 2022. RStudio: Integrated development environment for r. Posit Software, PBC, Boston, MA. Available from</w:t>
      </w:r>
      <w:r>
        <w:t xml:space="preserve"> </w:t>
      </w:r>
      <w:hyperlink r:id="rId132">
        <w:r>
          <w:rPr>
            <w:rStyle w:val="Hyperlink"/>
          </w:rPr>
          <w:t xml:space="preserve">http://www.posit.co/</w:t>
        </w:r>
      </w:hyperlink>
      <w:r>
        <w:t xml:space="preserve">.</w:t>
      </w:r>
    </w:p>
    <w:bookmarkEnd w:id="133"/>
    <w:bookmarkStart w:id="135" w:name="ref-rcore"/>
    <w:p>
      <w:pPr>
        <w:pStyle w:val="Bibliography"/>
      </w:pPr>
      <w:r>
        <w:t xml:space="preserve">R Core Team. 2023. R: A language and environment for statistical computing. R Foundation for Statistical Computing, Vienna, Austria. Available from</w:t>
      </w:r>
      <w:r>
        <w:t xml:space="preserve"> </w:t>
      </w:r>
      <w:hyperlink r:id="rId134">
        <w:r>
          <w:rPr>
            <w:rStyle w:val="Hyperlink"/>
          </w:rPr>
          <w:t xml:space="preserve">https://www.R-project.org/</w:t>
        </w:r>
      </w:hyperlink>
      <w:r>
        <w:t xml:space="preserve">.</w:t>
      </w:r>
    </w:p>
    <w:bookmarkEnd w:id="135"/>
    <w:bookmarkStart w:id="137"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36">
        <w:r>
          <w:rPr>
            <w:rStyle w:val="Hyperlink"/>
          </w:rPr>
          <w:t xml:space="preserve">10.1007/978-94-007-3855-3_20</w:t>
        </w:r>
      </w:hyperlink>
      <w:r>
        <w:t xml:space="preserve">.</w:t>
      </w:r>
    </w:p>
    <w:bookmarkEnd w:id="137"/>
    <w:bookmarkStart w:id="139"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38">
        <w:r>
          <w:rPr>
            <w:rStyle w:val="Hyperlink"/>
          </w:rPr>
          <w:t xml:space="preserve">10.1371/journal.pone.0001341</w:t>
        </w:r>
      </w:hyperlink>
      <w:r>
        <w:t xml:space="preserve">.</w:t>
      </w:r>
    </w:p>
    <w:bookmarkEnd w:id="139"/>
    <w:bookmarkStart w:id="141"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40">
        <w:r>
          <w:rPr>
            <w:rStyle w:val="Hyperlink"/>
          </w:rPr>
          <w:t xml:space="preserve">10.5194/bg-15-6257-2018</w:t>
        </w:r>
      </w:hyperlink>
      <w:r>
        <w:t xml:space="preserve">.</w:t>
      </w:r>
    </w:p>
    <w:bookmarkEnd w:id="141"/>
    <w:bookmarkStart w:id="143"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42">
        <w:r>
          <w:rPr>
            <w:rStyle w:val="Hyperlink"/>
          </w:rPr>
          <w:t xml:space="preserve">10.3390/toxins10010048</w:t>
        </w:r>
      </w:hyperlink>
      <w:r>
        <w:t xml:space="preserve">.</w:t>
      </w:r>
    </w:p>
    <w:bookmarkEnd w:id="143"/>
    <w:bookmarkStart w:id="145"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44">
        <w:r>
          <w:rPr>
            <w:rStyle w:val="Hyperlink"/>
          </w:rPr>
          <w:t xml:space="preserve">10.1038/nature03044</w:t>
        </w:r>
      </w:hyperlink>
      <w:r>
        <w:t xml:space="preserve">.</w:t>
      </w:r>
    </w:p>
    <w:bookmarkEnd w:id="145"/>
    <w:bookmarkStart w:id="147"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46">
        <w:r>
          <w:rPr>
            <w:rStyle w:val="Hyperlink"/>
          </w:rPr>
          <w:t xml:space="preserve">10.1111/j.1461-0248.2007.01026.x</w:t>
        </w:r>
      </w:hyperlink>
      <w:r>
        <w:t xml:space="preserve">.</w:t>
      </w:r>
    </w:p>
    <w:bookmarkEnd w:id="147"/>
    <w:bookmarkStart w:id="149"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48">
        <w:r>
          <w:rPr>
            <w:rStyle w:val="Hyperlink"/>
          </w:rPr>
          <w:t xml:space="preserve">DOI: http://dx.doi.org/10.25607/OBP-1791</w:t>
        </w:r>
      </w:hyperlink>
      <w:r>
        <w:t xml:space="preserve">.</w:t>
      </w:r>
    </w:p>
    <w:bookmarkEnd w:id="149"/>
    <w:bookmarkStart w:id="151"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50">
        <w:r>
          <w:rPr>
            <w:rStyle w:val="Hyperlink"/>
          </w:rPr>
          <w:t xml:space="preserve">10.25607/OBP-1084</w:t>
        </w:r>
      </w:hyperlink>
      <w:r>
        <w:t xml:space="preserve">.</w:t>
      </w:r>
    </w:p>
    <w:bookmarkEnd w:id="151"/>
    <w:bookmarkStart w:id="153"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52">
        <w:r>
          <w:rPr>
            <w:rStyle w:val="Hyperlink"/>
          </w:rPr>
          <w:t xml:space="preserve">10.1073/pnas.1205009109</w:t>
        </w:r>
      </w:hyperlink>
      <w:r>
        <w:t xml:space="preserve">.</w:t>
      </w:r>
    </w:p>
    <w:bookmarkEnd w:id="153"/>
    <w:bookmarkStart w:id="155"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54">
        <w:r>
          <w:rPr>
            <w:rStyle w:val="Hyperlink"/>
          </w:rPr>
          <w:t xml:space="preserve">10.1007/978-3-319-24277-4_9</w:t>
        </w:r>
      </w:hyperlink>
      <w:r>
        <w:t xml:space="preserve">.</w:t>
      </w:r>
    </w:p>
    <w:bookmarkEnd w:id="155"/>
    <w:bookmarkStart w:id="157"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56">
        <w:r>
          <w:rPr>
            <w:rStyle w:val="Hyperlink"/>
          </w:rPr>
          <w:t xml:space="preserve">10.1105/tpc.105.040121</w:t>
        </w:r>
      </w:hyperlink>
      <w:r>
        <w:t xml:space="preserve">.</w:t>
      </w:r>
    </w:p>
    <w:bookmarkEnd w:id="157"/>
    <w:bookmarkStart w:id="159"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58">
        <w:r>
          <w:rPr>
            <w:rStyle w:val="Hyperlink"/>
          </w:rPr>
          <w:t xml:space="preserve">10.1002/cyto.a.24508</w:t>
        </w:r>
      </w:hyperlink>
      <w:r>
        <w:t xml:space="preserve">.</w:t>
      </w:r>
    </w:p>
    <w:bookmarkEnd w:id="159"/>
    <w:bookmarkStart w:id="161"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60">
        <w:r>
          <w:rPr>
            <w:rStyle w:val="Hyperlink"/>
          </w:rPr>
          <w:t xml:space="preserve">10.1002/lno.12367</w:t>
        </w:r>
      </w:hyperlink>
      <w:r>
        <w:t xml:space="preserve">.</w:t>
      </w:r>
    </w:p>
    <w:bookmarkEnd w:id="161"/>
    <w:bookmarkStart w:id="163"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62">
        <w:r>
          <w:rPr>
            <w:rStyle w:val="Hyperlink"/>
          </w:rPr>
          <w:t xml:space="preserve">10.1016/j.bbabio.2017.03.003</w:t>
        </w:r>
      </w:hyperlink>
      <w:r>
        <w:t xml:space="preserve">.</w:t>
      </w:r>
    </w:p>
    <w:bookmarkEnd w:id="163"/>
    <w:bookmarkStart w:id="165"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64">
        <w:r>
          <w:rPr>
            <w:rStyle w:val="Hyperlink"/>
          </w:rPr>
          <w:t xml:space="preserve">10.3389/fmars.2018.00281</w:t>
        </w:r>
      </w:hyperlink>
      <w:r>
        <w:t xml:space="preserve">.</w:t>
      </w:r>
    </w:p>
    <w:bookmarkEnd w:id="165"/>
    <w:bookmarkEnd w:id="166"/>
    <w:bookmarkEnd w:id="167"/>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48" Target="DOI: http://dx.doi.org/10.25607/OBP-1791" TargetMode="External" /><Relationship Type="http://schemas.openxmlformats.org/officeDocument/2006/relationships/hyperlink" Id="rId132"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58" Target="https://doi.org/10.1002/cyto.a.24508" TargetMode="External" /><Relationship Type="http://schemas.openxmlformats.org/officeDocument/2006/relationships/hyperlink" Id="rId160" Target="https://doi.org/10.1002/lno.12367" TargetMode="External" /><Relationship Type="http://schemas.openxmlformats.org/officeDocument/2006/relationships/hyperlink" Id="rId97" Target="https://doi.org/10.1007/978-1-4615-8714-9_3" TargetMode="External" /><Relationship Type="http://schemas.openxmlformats.org/officeDocument/2006/relationships/hyperlink" Id="rId154" Target="https://doi.org/10.1007/978-3-319-24277-4_9" TargetMode="External" /><Relationship Type="http://schemas.openxmlformats.org/officeDocument/2006/relationships/hyperlink" Id="rId136" Target="https://doi.org/10.1007/978-94-007-3855-3_20" TargetMode="External" /><Relationship Type="http://schemas.openxmlformats.org/officeDocument/2006/relationships/hyperlink" Id="rId112" Target="https://doi.org/10.1007/s11120-014-0031-7" TargetMode="External" /><Relationship Type="http://schemas.openxmlformats.org/officeDocument/2006/relationships/hyperlink" Id="rId121" Target="https://doi.org/10.1007/s11120-018-0561-5" TargetMode="External" /><Relationship Type="http://schemas.openxmlformats.org/officeDocument/2006/relationships/hyperlink" Id="rId72" Target="https://doi.org/10.1016/1011-1344(92)87003-R" TargetMode="External" /><Relationship Type="http://schemas.openxmlformats.org/officeDocument/2006/relationships/hyperlink" Id="rId114" Target="https://doi.org/10.1016/S0005-2728(98)00135-2" TargetMode="External" /><Relationship Type="http://schemas.openxmlformats.org/officeDocument/2006/relationships/hyperlink" Id="rId99" Target="https://doi.org/10.1016/j.bbabio.2004.09.001" TargetMode="External" /><Relationship Type="http://schemas.openxmlformats.org/officeDocument/2006/relationships/hyperlink" Id="rId93" Target="https://doi.org/10.1016/j.bbabio.2011.08.009" TargetMode="External" /><Relationship Type="http://schemas.openxmlformats.org/officeDocument/2006/relationships/hyperlink" Id="rId162" Target="https://doi.org/10.1016/j.bbabio.2017.03.003" TargetMode="External" /><Relationship Type="http://schemas.openxmlformats.org/officeDocument/2006/relationships/hyperlink" Id="rId108" Target="https://doi.org/10.1016/j.jphotobiol.2005.10.002" TargetMode="External" /><Relationship Type="http://schemas.openxmlformats.org/officeDocument/2006/relationships/hyperlink" Id="rId105" Target="https://doi.org/10.1021/acs.est.8b03488" TargetMode="External" /><Relationship Type="http://schemas.openxmlformats.org/officeDocument/2006/relationships/hyperlink" Id="rId127" Target="https://doi.org/10.1023/A:1005936823310" TargetMode="External" /><Relationship Type="http://schemas.openxmlformats.org/officeDocument/2006/relationships/hyperlink" Id="rId81" Target="https://doi.org/10.1034/j.1399-3054.1999.105420.x" TargetMode="External" /><Relationship Type="http://schemas.openxmlformats.org/officeDocument/2006/relationships/hyperlink" Id="rId103" Target="https://doi.org/10.1038/ismej.2008.118" TargetMode="External" /><Relationship Type="http://schemas.openxmlformats.org/officeDocument/2006/relationships/hyperlink" Id="rId144" Target="https://doi.org/10.1038/nature03044" TargetMode="External" /><Relationship Type="http://schemas.openxmlformats.org/officeDocument/2006/relationships/hyperlink" Id="rId152" Target="https://doi.org/10.1073/pnas.1205009109" TargetMode="External" /><Relationship Type="http://schemas.openxmlformats.org/officeDocument/2006/relationships/hyperlink" Id="rId91" Target="https://doi.org/10.1073/pnas.1307701110" TargetMode="External" /><Relationship Type="http://schemas.openxmlformats.org/officeDocument/2006/relationships/hyperlink" Id="rId74" Target="https://doi.org/10.1083/jcb.58.2.419" TargetMode="External" /><Relationship Type="http://schemas.openxmlformats.org/officeDocument/2006/relationships/hyperlink" Id="rId83" Target="https://doi.org/10.1104/pp.111.4.1293" TargetMode="External" /><Relationship Type="http://schemas.openxmlformats.org/officeDocument/2006/relationships/hyperlink" Id="rId156"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46" Target="https://doi.org/10.1111/j.1461-0248.2007.01026.x" TargetMode="External" /><Relationship Type="http://schemas.openxmlformats.org/officeDocument/2006/relationships/hyperlink" Id="rId95" Target="https://doi.org/10.1111/j.1529-8817.2010.00852.x" TargetMode="External" /><Relationship Type="http://schemas.openxmlformats.org/officeDocument/2006/relationships/hyperlink" Id="rId86" Target="https://doi.org/10.1126/science.1095964" TargetMode="External" /><Relationship Type="http://schemas.openxmlformats.org/officeDocument/2006/relationships/hyperlink" Id="rId79" Target="https://doi.org/10.1126/science.aam7240" TargetMode="External" /><Relationship Type="http://schemas.openxmlformats.org/officeDocument/2006/relationships/hyperlink" Id="rId110" Target="https://doi.org/10.1146/annurev.marine.010908.163855" TargetMode="External" /><Relationship Type="http://schemas.openxmlformats.org/officeDocument/2006/relationships/hyperlink" Id="rId138" Target="https://doi.org/10.1371/journal.pone.0001341" TargetMode="External" /><Relationship Type="http://schemas.openxmlformats.org/officeDocument/2006/relationships/hyperlink" Id="rId125" Target="https://doi.org/10.1371/journal.pone.0168991" TargetMode="External" /><Relationship Type="http://schemas.openxmlformats.org/officeDocument/2006/relationships/hyperlink" Id="rId150" Target="https://doi.org/10.25607/OBP-1084" TargetMode="External" /><Relationship Type="http://schemas.openxmlformats.org/officeDocument/2006/relationships/hyperlink" Id="rId119" Target="https://doi.org/10.3354/ame01392" TargetMode="External" /><Relationship Type="http://schemas.openxmlformats.org/officeDocument/2006/relationships/hyperlink" Id="rId164" Target="https://doi.org/10.3389/fmars.2018.00281" TargetMode="External" /><Relationship Type="http://schemas.openxmlformats.org/officeDocument/2006/relationships/hyperlink" Id="rId77" Target="https://doi.org/10.3389/fmars.2019.00319" TargetMode="External" /><Relationship Type="http://schemas.openxmlformats.org/officeDocument/2006/relationships/hyperlink" Id="rId142" Target="https://doi.org/10.3390/toxins10010048" TargetMode="External" /><Relationship Type="http://schemas.openxmlformats.org/officeDocument/2006/relationships/hyperlink" Id="rId89" Target="https://doi.org/10.4319/lo.2001.46.1.0086" TargetMode="External" /><Relationship Type="http://schemas.openxmlformats.org/officeDocument/2006/relationships/hyperlink" Id="rId117" Target="https://doi.org/10.4319/lo.2006.51.1.0021" TargetMode="External" /><Relationship Type="http://schemas.openxmlformats.org/officeDocument/2006/relationships/hyperlink" Id="rId129" Target="https://doi.org/10.4319/lom.2012.10.142" TargetMode="External" /><Relationship Type="http://schemas.openxmlformats.org/officeDocument/2006/relationships/hyperlink" Id="rId140"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34" Target="https://www.R-project.org/" TargetMode="External" /><Relationship Type="http://schemas.openxmlformats.org/officeDocument/2006/relationships/hyperlink" Id="rId123"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48" Target="DOI: http://dx.doi.org/10.25607/OBP-1791" TargetMode="External" /><Relationship Type="http://schemas.openxmlformats.org/officeDocument/2006/relationships/hyperlink" Id="rId132"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58" Target="https://doi.org/10.1002/cyto.a.24508" TargetMode="External" /><Relationship Type="http://schemas.openxmlformats.org/officeDocument/2006/relationships/hyperlink" Id="rId160" Target="https://doi.org/10.1002/lno.12367" TargetMode="External" /><Relationship Type="http://schemas.openxmlformats.org/officeDocument/2006/relationships/hyperlink" Id="rId97" Target="https://doi.org/10.1007/978-1-4615-8714-9_3" TargetMode="External" /><Relationship Type="http://schemas.openxmlformats.org/officeDocument/2006/relationships/hyperlink" Id="rId154" Target="https://doi.org/10.1007/978-3-319-24277-4_9" TargetMode="External" /><Relationship Type="http://schemas.openxmlformats.org/officeDocument/2006/relationships/hyperlink" Id="rId136" Target="https://doi.org/10.1007/978-94-007-3855-3_20" TargetMode="External" /><Relationship Type="http://schemas.openxmlformats.org/officeDocument/2006/relationships/hyperlink" Id="rId112" Target="https://doi.org/10.1007/s11120-014-0031-7" TargetMode="External" /><Relationship Type="http://schemas.openxmlformats.org/officeDocument/2006/relationships/hyperlink" Id="rId121" Target="https://doi.org/10.1007/s11120-018-0561-5" TargetMode="External" /><Relationship Type="http://schemas.openxmlformats.org/officeDocument/2006/relationships/hyperlink" Id="rId72" Target="https://doi.org/10.1016/1011-1344(92)87003-R" TargetMode="External" /><Relationship Type="http://schemas.openxmlformats.org/officeDocument/2006/relationships/hyperlink" Id="rId114" Target="https://doi.org/10.1016/S0005-2728(98)00135-2" TargetMode="External" /><Relationship Type="http://schemas.openxmlformats.org/officeDocument/2006/relationships/hyperlink" Id="rId99" Target="https://doi.org/10.1016/j.bbabio.2004.09.001" TargetMode="External" /><Relationship Type="http://schemas.openxmlformats.org/officeDocument/2006/relationships/hyperlink" Id="rId93" Target="https://doi.org/10.1016/j.bbabio.2011.08.009" TargetMode="External" /><Relationship Type="http://schemas.openxmlformats.org/officeDocument/2006/relationships/hyperlink" Id="rId162" Target="https://doi.org/10.1016/j.bbabio.2017.03.003" TargetMode="External" /><Relationship Type="http://schemas.openxmlformats.org/officeDocument/2006/relationships/hyperlink" Id="rId108" Target="https://doi.org/10.1016/j.jphotobiol.2005.10.002" TargetMode="External" /><Relationship Type="http://schemas.openxmlformats.org/officeDocument/2006/relationships/hyperlink" Id="rId105" Target="https://doi.org/10.1021/acs.est.8b03488" TargetMode="External" /><Relationship Type="http://schemas.openxmlformats.org/officeDocument/2006/relationships/hyperlink" Id="rId127" Target="https://doi.org/10.1023/A:1005936823310" TargetMode="External" /><Relationship Type="http://schemas.openxmlformats.org/officeDocument/2006/relationships/hyperlink" Id="rId81" Target="https://doi.org/10.1034/j.1399-3054.1999.105420.x" TargetMode="External" /><Relationship Type="http://schemas.openxmlformats.org/officeDocument/2006/relationships/hyperlink" Id="rId103" Target="https://doi.org/10.1038/ismej.2008.118" TargetMode="External" /><Relationship Type="http://schemas.openxmlformats.org/officeDocument/2006/relationships/hyperlink" Id="rId144" Target="https://doi.org/10.1038/nature03044" TargetMode="External" /><Relationship Type="http://schemas.openxmlformats.org/officeDocument/2006/relationships/hyperlink" Id="rId152" Target="https://doi.org/10.1073/pnas.1205009109" TargetMode="External" /><Relationship Type="http://schemas.openxmlformats.org/officeDocument/2006/relationships/hyperlink" Id="rId91" Target="https://doi.org/10.1073/pnas.1307701110" TargetMode="External" /><Relationship Type="http://schemas.openxmlformats.org/officeDocument/2006/relationships/hyperlink" Id="rId74" Target="https://doi.org/10.1083/jcb.58.2.419" TargetMode="External" /><Relationship Type="http://schemas.openxmlformats.org/officeDocument/2006/relationships/hyperlink" Id="rId83" Target="https://doi.org/10.1104/pp.111.4.1293" TargetMode="External" /><Relationship Type="http://schemas.openxmlformats.org/officeDocument/2006/relationships/hyperlink" Id="rId156"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46" Target="https://doi.org/10.1111/j.1461-0248.2007.01026.x" TargetMode="External" /><Relationship Type="http://schemas.openxmlformats.org/officeDocument/2006/relationships/hyperlink" Id="rId95" Target="https://doi.org/10.1111/j.1529-8817.2010.00852.x" TargetMode="External" /><Relationship Type="http://schemas.openxmlformats.org/officeDocument/2006/relationships/hyperlink" Id="rId86" Target="https://doi.org/10.1126/science.1095964" TargetMode="External" /><Relationship Type="http://schemas.openxmlformats.org/officeDocument/2006/relationships/hyperlink" Id="rId79" Target="https://doi.org/10.1126/science.aam7240" TargetMode="External" /><Relationship Type="http://schemas.openxmlformats.org/officeDocument/2006/relationships/hyperlink" Id="rId110" Target="https://doi.org/10.1146/annurev.marine.010908.163855" TargetMode="External" /><Relationship Type="http://schemas.openxmlformats.org/officeDocument/2006/relationships/hyperlink" Id="rId138" Target="https://doi.org/10.1371/journal.pone.0001341" TargetMode="External" /><Relationship Type="http://schemas.openxmlformats.org/officeDocument/2006/relationships/hyperlink" Id="rId125" Target="https://doi.org/10.1371/journal.pone.0168991" TargetMode="External" /><Relationship Type="http://schemas.openxmlformats.org/officeDocument/2006/relationships/hyperlink" Id="rId150" Target="https://doi.org/10.25607/OBP-1084" TargetMode="External" /><Relationship Type="http://schemas.openxmlformats.org/officeDocument/2006/relationships/hyperlink" Id="rId119" Target="https://doi.org/10.3354/ame01392" TargetMode="External" /><Relationship Type="http://schemas.openxmlformats.org/officeDocument/2006/relationships/hyperlink" Id="rId164" Target="https://doi.org/10.3389/fmars.2018.00281" TargetMode="External" /><Relationship Type="http://schemas.openxmlformats.org/officeDocument/2006/relationships/hyperlink" Id="rId77" Target="https://doi.org/10.3389/fmars.2019.00319" TargetMode="External" /><Relationship Type="http://schemas.openxmlformats.org/officeDocument/2006/relationships/hyperlink" Id="rId142" Target="https://doi.org/10.3390/toxins10010048" TargetMode="External" /><Relationship Type="http://schemas.openxmlformats.org/officeDocument/2006/relationships/hyperlink" Id="rId89" Target="https://doi.org/10.4319/lo.2001.46.1.0086" TargetMode="External" /><Relationship Type="http://schemas.openxmlformats.org/officeDocument/2006/relationships/hyperlink" Id="rId117" Target="https://doi.org/10.4319/lo.2006.51.1.0021" TargetMode="External" /><Relationship Type="http://schemas.openxmlformats.org/officeDocument/2006/relationships/hyperlink" Id="rId129" Target="https://doi.org/10.4319/lom.2012.10.142" TargetMode="External" /><Relationship Type="http://schemas.openxmlformats.org/officeDocument/2006/relationships/hyperlink" Id="rId140"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34" Target="https://www.R-project.org/" TargetMode="External" /><Relationship Type="http://schemas.openxmlformats.org/officeDocument/2006/relationships/hyperlink" Id="rId123"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2024-07-02T17:45:13Z</dcterms:created>
  <dcterms:modified xsi:type="dcterms:W3CDTF">2024-07-02T17:45:13Z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